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DD" w:rsidRDefault="000A57DD" w:rsidP="000A57DD">
      <w:pPr>
        <w:ind w:left="11340"/>
        <w:jc w:val="center"/>
        <w:rPr>
          <w:sz w:val="26"/>
          <w:szCs w:val="26"/>
          <w:lang w:val="ru-RU"/>
        </w:rPr>
      </w:pPr>
      <w:r w:rsidRPr="00C43E00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 xml:space="preserve">ТВЕРЖДЕН </w:t>
      </w:r>
    </w:p>
    <w:p w:rsidR="000A57DD" w:rsidRDefault="000A57DD" w:rsidP="000A57DD">
      <w:pPr>
        <w:ind w:left="113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приказом управления административно–технического контроля Калужской области </w:t>
      </w:r>
    </w:p>
    <w:p w:rsidR="000A57DD" w:rsidRDefault="000A57DD" w:rsidP="000A57DD">
      <w:pPr>
        <w:ind w:left="113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«20» января 2020 года № 08-20</w:t>
      </w:r>
    </w:p>
    <w:p w:rsidR="000A57DD" w:rsidRDefault="000A57DD" w:rsidP="000A57DD">
      <w:pPr>
        <w:ind w:firstLine="709"/>
        <w:jc w:val="center"/>
        <w:rPr>
          <w:b/>
          <w:sz w:val="26"/>
          <w:szCs w:val="26"/>
          <w:lang w:val="ru-RU"/>
        </w:rPr>
      </w:pPr>
    </w:p>
    <w:p w:rsidR="000A57DD" w:rsidRDefault="000A57DD" w:rsidP="000A57DD">
      <w:pPr>
        <w:ind w:firstLine="709"/>
        <w:jc w:val="center"/>
        <w:rPr>
          <w:b/>
          <w:sz w:val="26"/>
          <w:szCs w:val="26"/>
          <w:lang w:val="ru-RU"/>
        </w:rPr>
      </w:pPr>
    </w:p>
    <w:p w:rsidR="000A57DD" w:rsidRPr="00D27CB9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b/>
          <w:kern w:val="0"/>
          <w:sz w:val="26"/>
          <w:szCs w:val="20"/>
          <w:lang w:val="ru-RU" w:eastAsia="ru-RU"/>
        </w:rPr>
        <w:t xml:space="preserve">МЕТОДИКА </w:t>
      </w:r>
    </w:p>
    <w:p w:rsidR="000A57DD" w:rsidRPr="00D27CB9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b/>
          <w:kern w:val="0"/>
          <w:sz w:val="26"/>
          <w:szCs w:val="20"/>
          <w:lang w:val="ru-RU" w:eastAsia="ru-RU"/>
        </w:rPr>
        <w:t xml:space="preserve">оценки эффективности функционирования антимонопольного </w:t>
      </w:r>
      <w:proofErr w:type="spellStart"/>
      <w:r w:rsidRPr="00D27CB9">
        <w:rPr>
          <w:rFonts w:eastAsia="Times New Roman"/>
          <w:b/>
          <w:kern w:val="0"/>
          <w:sz w:val="26"/>
          <w:szCs w:val="20"/>
          <w:lang w:val="ru-RU" w:eastAsia="ru-RU"/>
        </w:rPr>
        <w:t>комплаенса</w:t>
      </w:r>
      <w:proofErr w:type="spellEnd"/>
      <w:r w:rsidRPr="00D27CB9">
        <w:rPr>
          <w:rFonts w:eastAsia="Times New Roman"/>
          <w:b/>
          <w:kern w:val="0"/>
          <w:sz w:val="26"/>
          <w:szCs w:val="20"/>
          <w:lang w:val="ru-RU" w:eastAsia="ru-RU"/>
        </w:rPr>
        <w:t xml:space="preserve"> </w:t>
      </w:r>
    </w:p>
    <w:p w:rsidR="000A57DD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b/>
          <w:kern w:val="0"/>
          <w:sz w:val="26"/>
          <w:szCs w:val="20"/>
          <w:lang w:val="ru-RU" w:eastAsia="ru-RU"/>
        </w:rPr>
        <w:t xml:space="preserve">в управлении административно-технического контроля Калужской области </w:t>
      </w:r>
    </w:p>
    <w:p w:rsidR="000A57DD" w:rsidRPr="00D27CB9" w:rsidRDefault="000A57DD" w:rsidP="000A57DD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26"/>
          <w:szCs w:val="20"/>
          <w:lang w:val="ru-RU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672"/>
        <w:gridCol w:w="4961"/>
        <w:gridCol w:w="2835"/>
      </w:tblGrid>
      <w:tr w:rsidR="000A57DD" w:rsidRPr="00D27CB9" w:rsidTr="000038C3">
        <w:tc>
          <w:tcPr>
            <w:tcW w:w="666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№ </w:t>
            </w:r>
            <w:proofErr w:type="gramStart"/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п</w:t>
            </w:r>
            <w:proofErr w:type="gramEnd"/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/п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Ключевые показатели эффективности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Значение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Оценка (балл)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7"/>
                <w:szCs w:val="27"/>
                <w:lang w:val="ru-RU" w:eastAsia="en-US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Факты выдачи </w:t>
            </w: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управлению пре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дупреждения и (или) </w:t>
            </w: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решения (предписания) по резуль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татам рассмотрения </w:t>
            </w: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дела о нарушении антимонопольно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0</w:t>
            </w:r>
          </w:p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30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15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Более 1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0</w:t>
            </w:r>
          </w:p>
        </w:tc>
      </w:tr>
      <w:tr w:rsidR="000A57DD" w:rsidRPr="00D27CB9" w:rsidTr="000038C3">
        <w:trPr>
          <w:trHeight w:val="531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7"/>
                <w:szCs w:val="27"/>
                <w:lang w:val="ru-RU" w:eastAsia="en-US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недействительными</w:t>
            </w:r>
            <w:proofErr w:type="gramEnd"/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 ненормативных правовых актов, незаконными решений и действий (бездействия) </w:t>
            </w: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управления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30</w:t>
            </w:r>
          </w:p>
        </w:tc>
      </w:tr>
      <w:tr w:rsidR="000A57DD" w:rsidRPr="00D27CB9" w:rsidTr="000038C3">
        <w:trPr>
          <w:trHeight w:val="850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20</w:t>
            </w:r>
          </w:p>
        </w:tc>
      </w:tr>
      <w:tr w:rsidR="000A57DD" w:rsidRPr="00D27CB9" w:rsidTr="000038C3">
        <w:trPr>
          <w:trHeight w:val="824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0</w:t>
            </w:r>
          </w:p>
        </w:tc>
      </w:tr>
      <w:tr w:rsidR="000A57DD" w:rsidRPr="00D27CB9" w:rsidTr="000038C3">
        <w:trPr>
          <w:trHeight w:val="988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both"/>
              <w:rPr>
                <w:rFonts w:eastAsia="Times New Roman"/>
                <w:kern w:val="0"/>
                <w:sz w:val="27"/>
                <w:szCs w:val="27"/>
                <w:lang w:val="ru-RU" w:eastAsia="en-US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Жалобы на решения, действия (бездействие) </w:t>
            </w: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управления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 и (или) его должностных лиц, ведущие к ограничению 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lastRenderedPageBreak/>
              <w:t>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lastRenderedPageBreak/>
              <w:t>нет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10</w:t>
            </w:r>
          </w:p>
        </w:tc>
      </w:tr>
      <w:tr w:rsidR="000A57DD" w:rsidRPr="00D27CB9" w:rsidTr="000038C3">
        <w:trPr>
          <w:trHeight w:val="708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0</w:t>
            </w:r>
          </w:p>
        </w:tc>
      </w:tr>
      <w:tr w:rsidR="000A57DD" w:rsidRPr="00D27CB9" w:rsidTr="000038C3">
        <w:trPr>
          <w:trHeight w:val="565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выполнены все мероприятия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20</w:t>
            </w:r>
          </w:p>
        </w:tc>
      </w:tr>
      <w:tr w:rsidR="000A57DD" w:rsidRPr="00D27CB9" w:rsidTr="000038C3">
        <w:trPr>
          <w:trHeight w:val="690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невыполнение мероприятий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0A57DD" w:rsidRPr="00D27CB9" w:rsidTr="000038C3">
        <w:trPr>
          <w:trHeight w:val="1032"/>
        </w:trPr>
        <w:tc>
          <w:tcPr>
            <w:tcW w:w="666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5</w:t>
            </w:r>
          </w:p>
        </w:tc>
        <w:tc>
          <w:tcPr>
            <w:tcW w:w="6672" w:type="dxa"/>
            <w:vMerge w:val="restart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proofErr w:type="gramStart"/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Доля проектов нормативных правовых актов </w:t>
            </w: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управления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 xml:space="preserve"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</w:t>
            </w:r>
            <w:r w:rsidRPr="003A76E5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управления</w:t>
            </w: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, подлежащих прохождению такой процедуры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85% и более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10</w:t>
            </w:r>
          </w:p>
        </w:tc>
      </w:tr>
      <w:tr w:rsidR="000A57DD" w:rsidRPr="00D27CB9" w:rsidTr="000038C3">
        <w:trPr>
          <w:trHeight w:val="1032"/>
        </w:trPr>
        <w:tc>
          <w:tcPr>
            <w:tcW w:w="666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6672" w:type="dxa"/>
            <w:vMerge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менее 85%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2835" w:type="dxa"/>
            <w:shd w:val="clear" w:color="auto" w:fill="auto"/>
          </w:tcPr>
          <w:p w:rsidR="000A57DD" w:rsidRPr="00D27CB9" w:rsidRDefault="000A57DD" w:rsidP="000038C3">
            <w:pPr>
              <w:widowControl/>
              <w:suppressAutoHyphens w:val="0"/>
              <w:spacing w:before="60" w:line="276" w:lineRule="auto"/>
              <w:ind w:left="34" w:right="88"/>
              <w:jc w:val="center"/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</w:pPr>
            <w:r w:rsidRPr="00D27CB9">
              <w:rPr>
                <w:rFonts w:eastAsia="Times New Roman"/>
                <w:kern w:val="0"/>
                <w:sz w:val="26"/>
                <w:szCs w:val="20"/>
                <w:lang w:val="ru-RU" w:eastAsia="ru-RU"/>
              </w:rPr>
              <w:t>0</w:t>
            </w:r>
          </w:p>
        </w:tc>
      </w:tr>
    </w:tbl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val="ru-RU" w:eastAsia="ru-RU"/>
        </w:rPr>
      </w:pPr>
    </w:p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kern w:val="0"/>
          <w:sz w:val="26"/>
          <w:szCs w:val="20"/>
          <w:lang w:val="ru-RU" w:eastAsia="ru-RU"/>
        </w:rPr>
        <w:lastRenderedPageBreak/>
        <w:t xml:space="preserve">Период, за который производится оценка, </w:t>
      </w:r>
      <w:r w:rsidRPr="00D27CB9">
        <w:rPr>
          <w:rFonts w:eastAsia="Times New Roman"/>
          <w:kern w:val="0"/>
          <w:sz w:val="26"/>
          <w:szCs w:val="20"/>
          <w:lang w:val="ru-RU" w:eastAsia="ru-RU"/>
        </w:rPr>
        <w:sym w:font="Symbol" w:char="F02D"/>
      </w:r>
      <w:r w:rsidRPr="00D27CB9">
        <w:rPr>
          <w:rFonts w:eastAsia="Times New Roman"/>
          <w:kern w:val="0"/>
          <w:sz w:val="26"/>
          <w:szCs w:val="20"/>
          <w:lang w:val="ru-RU" w:eastAsia="ru-RU"/>
        </w:rPr>
        <w:t xml:space="preserve"> календарный год.</w:t>
      </w:r>
    </w:p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val="ru-RU" w:eastAsia="ru-RU"/>
        </w:rPr>
      </w:pPr>
    </w:p>
    <w:p w:rsidR="000A57DD" w:rsidRPr="00D27CB9" w:rsidRDefault="000A57DD" w:rsidP="000A57DD">
      <w:pPr>
        <w:widowControl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kern w:val="0"/>
          <w:sz w:val="26"/>
          <w:szCs w:val="20"/>
          <w:lang w:val="ru-RU" w:eastAsia="ru-RU"/>
        </w:rPr>
        <w:t>Расчет значения итогового показателя производится путем суммирования баллов: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kern w:val="0"/>
          <w:sz w:val="26"/>
          <w:szCs w:val="20"/>
          <w:lang w:val="ru-RU" w:eastAsia="ru-RU"/>
        </w:rPr>
        <w:t>высокая эффективность – от 75 до 100 баллов;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kern w:val="0"/>
          <w:sz w:val="26"/>
          <w:szCs w:val="20"/>
          <w:lang w:val="ru-RU" w:eastAsia="ru-RU"/>
        </w:rPr>
        <w:t>средняя эффективность – от 50 до 75 баллов;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kern w:val="0"/>
          <w:sz w:val="26"/>
          <w:szCs w:val="20"/>
          <w:lang w:val="ru-RU" w:eastAsia="ru-RU"/>
        </w:rPr>
        <w:t>низкая эффективность – от 25 до 50 баллов;</w:t>
      </w:r>
    </w:p>
    <w:p w:rsidR="000A57DD" w:rsidRPr="00D27CB9" w:rsidRDefault="000A57DD" w:rsidP="000A57DD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Times New Roman"/>
          <w:kern w:val="0"/>
          <w:sz w:val="26"/>
          <w:szCs w:val="20"/>
          <w:lang w:val="ru-RU" w:eastAsia="ru-RU"/>
        </w:rPr>
      </w:pPr>
      <w:r w:rsidRPr="00D27CB9">
        <w:rPr>
          <w:rFonts w:eastAsia="Times New Roman"/>
          <w:kern w:val="0"/>
          <w:sz w:val="26"/>
          <w:szCs w:val="20"/>
          <w:lang w:val="ru-RU" w:eastAsia="ru-RU"/>
        </w:rPr>
        <w:t>неэффективно – ниже 25 баллов.</w:t>
      </w:r>
    </w:p>
    <w:p w:rsidR="00694854" w:rsidRDefault="00694854">
      <w:bookmarkStart w:id="0" w:name="_GoBack"/>
      <w:bookmarkEnd w:id="0"/>
    </w:p>
    <w:sectPr w:rsidR="00694854" w:rsidSect="00D93AFF">
      <w:pgSz w:w="16838" w:h="11906" w:orient="landscape"/>
      <w:pgMar w:top="1418" w:right="709" w:bottom="85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3"/>
    <w:rsid w:val="000A57DD"/>
    <w:rsid w:val="004D3BB3"/>
    <w:rsid w:val="006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D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Мишакова Екатерина Николаевна</dc:creator>
  <cp:keywords/>
  <dc:description/>
  <cp:lastModifiedBy>Мишакова Екатерина Николаевна</cp:lastModifiedBy>
  <cp:revision>2</cp:revision>
  <dcterms:created xsi:type="dcterms:W3CDTF">2020-01-31T07:05:00Z</dcterms:created>
  <dcterms:modified xsi:type="dcterms:W3CDTF">2020-01-31T07:07:00Z</dcterms:modified>
</cp:coreProperties>
</file>